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160E511">
      <w:pPr>
        <w:pStyle w:val="4"/>
        <w:tabs>
          <w:tab w:val="left" w:pos="900"/>
        </w:tabs>
        <w:adjustRightInd w:val="0"/>
        <w:snapToGrid w:val="0"/>
        <w:spacing w:after="0" w:line="720" w:lineRule="exact"/>
        <w:jc w:val="center"/>
        <w:rPr>
          <w:rFonts w:hint="eastAsia" w:cs="Arial" w:asciiTheme="minorEastAsia" w:hAnsiTheme="minorEastAsia" w:eastAsiaTheme="minorEastAsia"/>
          <w:b/>
          <w:sz w:val="48"/>
          <w:szCs w:val="48"/>
        </w:rPr>
      </w:pPr>
      <w:r>
        <w:rPr>
          <w:rFonts w:hint="eastAsia" w:cs="Arial" w:asciiTheme="minorEastAsia" w:hAnsiTheme="minorEastAsia" w:eastAsiaTheme="minorEastAsia"/>
          <w:b/>
          <w:sz w:val="48"/>
          <w:szCs w:val="48"/>
        </w:rPr>
        <w:t>竞  价  清  单</w:t>
      </w:r>
    </w:p>
    <w:p w14:paraId="29569F82">
      <w:pPr>
        <w:pStyle w:val="4"/>
        <w:tabs>
          <w:tab w:val="left" w:pos="900"/>
        </w:tabs>
        <w:autoSpaceDE w:val="0"/>
        <w:autoSpaceDN w:val="0"/>
        <w:adjustRightInd w:val="0"/>
        <w:snapToGrid w:val="0"/>
        <w:spacing w:after="0" w:line="400" w:lineRule="exact"/>
        <w:jc w:val="center"/>
        <w:rPr>
          <w:rFonts w:hint="eastAsia" w:cs="Arial" w:asciiTheme="minorEastAsia" w:hAnsiTheme="minorEastAsia" w:eastAsiaTheme="minorEastAsia"/>
          <w:b/>
          <w:szCs w:val="21"/>
        </w:rPr>
      </w:pPr>
      <w:r>
        <w:rPr>
          <w:rFonts w:hint="eastAsia" w:cs="Arial" w:asciiTheme="minorEastAsia" w:hAnsiTheme="minorEastAsia" w:eastAsiaTheme="minorEastAsia"/>
          <w:b/>
          <w:szCs w:val="21"/>
        </w:rPr>
        <w:t>【2025年第四批保障房配套商业招租】</w:t>
      </w:r>
    </w:p>
    <w:p w14:paraId="667FFD58">
      <w:pPr>
        <w:autoSpaceDE w:val="0"/>
        <w:autoSpaceDN w:val="0"/>
        <w:spacing w:line="240" w:lineRule="exact"/>
        <w:jc w:val="center"/>
        <w:rPr>
          <w:rFonts w:hint="eastAsia" w:asciiTheme="minorEastAsia" w:hAnsiTheme="minorEastAsia" w:eastAsiaTheme="minorEastAsia"/>
          <w:b/>
          <w:sz w:val="18"/>
          <w:szCs w:val="18"/>
        </w:rPr>
      </w:pPr>
    </w:p>
    <w:tbl>
      <w:tblPr>
        <w:tblStyle w:val="9"/>
        <w:tblW w:w="102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0" w:type="dxa"/>
          <w:bottom w:w="0" w:type="dxa"/>
          <w:right w:w="0" w:type="dxa"/>
        </w:tblCellMar>
      </w:tblPr>
      <w:tblGrid>
        <w:gridCol w:w="570"/>
        <w:gridCol w:w="1218"/>
        <w:gridCol w:w="1901"/>
        <w:gridCol w:w="851"/>
        <w:gridCol w:w="850"/>
        <w:gridCol w:w="851"/>
        <w:gridCol w:w="850"/>
        <w:gridCol w:w="2257"/>
        <w:gridCol w:w="931"/>
      </w:tblGrid>
      <w:tr w14:paraId="725DE4F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284" w:hRule="atLeast"/>
          <w:tblHeader/>
          <w:jc w:val="center"/>
        </w:trPr>
        <w:tc>
          <w:tcPr>
            <w:tcW w:w="570" w:type="dxa"/>
            <w:tcMar>
              <w:top w:w="15" w:type="dxa"/>
              <w:left w:w="15" w:type="dxa"/>
              <w:right w:w="15" w:type="dxa"/>
            </w:tcMar>
            <w:vAlign w:val="center"/>
          </w:tcPr>
          <w:p w14:paraId="5F2C57D5">
            <w:pPr>
              <w:widowControl/>
              <w:jc w:val="center"/>
              <w:textAlignment w:val="center"/>
              <w:rPr>
                <w:rFonts w:hint="eastAsia" w:ascii="等线" w:hAnsi="等线" w:eastAsia="等线" w:cs="等线"/>
                <w:b/>
                <w:bCs/>
                <w:color w:val="000000"/>
                <w:kern w:val="0"/>
                <w:sz w:val="18"/>
                <w:szCs w:val="18"/>
                <w:lang w:bidi="ar"/>
              </w:rPr>
            </w:pPr>
            <w:r>
              <w:rPr>
                <w:rFonts w:hint="eastAsia" w:ascii="等线" w:hAnsi="等线" w:eastAsia="等线" w:cs="等线"/>
                <w:b/>
                <w:bCs/>
                <w:color w:val="000000"/>
                <w:kern w:val="0"/>
                <w:sz w:val="18"/>
                <w:szCs w:val="18"/>
                <w:lang w:bidi="ar"/>
              </w:rPr>
              <w:t>标的</w:t>
            </w:r>
          </w:p>
          <w:p w14:paraId="73FD6532">
            <w:pPr>
              <w:widowControl/>
              <w:jc w:val="center"/>
              <w:textAlignment w:val="center"/>
              <w:rPr>
                <w:rFonts w:hint="eastAsia" w:cs="黑体" w:asciiTheme="minorHAnsi" w:hAnsiTheme="minorHAnsi" w:eastAsiaTheme="minorHAnsi"/>
                <w:b/>
                <w:sz w:val="18"/>
                <w:szCs w:val="18"/>
              </w:rPr>
            </w:pPr>
            <w:r>
              <w:rPr>
                <w:rFonts w:hint="eastAsia" w:ascii="等线" w:hAnsi="等线" w:eastAsia="等线" w:cs="等线"/>
                <w:b/>
                <w:bCs/>
                <w:color w:val="000000"/>
                <w:kern w:val="0"/>
                <w:sz w:val="18"/>
                <w:szCs w:val="18"/>
                <w:lang w:bidi="ar"/>
              </w:rPr>
              <w:t>序号</w:t>
            </w:r>
          </w:p>
        </w:tc>
        <w:tc>
          <w:tcPr>
            <w:tcW w:w="1218" w:type="dxa"/>
            <w:noWrap/>
            <w:tcMar>
              <w:top w:w="15" w:type="dxa"/>
              <w:left w:w="15" w:type="dxa"/>
              <w:right w:w="15" w:type="dxa"/>
            </w:tcMar>
            <w:vAlign w:val="center"/>
          </w:tcPr>
          <w:p w14:paraId="7EBA4EA2">
            <w:pPr>
              <w:widowControl/>
              <w:jc w:val="center"/>
              <w:textAlignment w:val="center"/>
              <w:rPr>
                <w:rFonts w:hint="eastAsia" w:cs="宋体" w:asciiTheme="minorHAnsi" w:hAnsiTheme="minorHAnsi" w:eastAsiaTheme="minorHAnsi"/>
                <w:b/>
                <w:kern w:val="0"/>
                <w:sz w:val="18"/>
                <w:szCs w:val="18"/>
              </w:rPr>
            </w:pPr>
            <w:r>
              <w:rPr>
                <w:rFonts w:hint="eastAsia" w:ascii="等线" w:hAnsi="等线" w:eastAsia="等线" w:cs="等线"/>
                <w:b/>
                <w:bCs/>
                <w:color w:val="000000"/>
                <w:kern w:val="0"/>
                <w:sz w:val="18"/>
                <w:szCs w:val="18"/>
                <w:lang w:bidi="ar"/>
              </w:rPr>
              <w:t>所在社区</w:t>
            </w:r>
          </w:p>
        </w:tc>
        <w:tc>
          <w:tcPr>
            <w:tcW w:w="1901" w:type="dxa"/>
            <w:tcMar>
              <w:top w:w="15" w:type="dxa"/>
              <w:left w:w="15" w:type="dxa"/>
              <w:right w:w="15" w:type="dxa"/>
            </w:tcMar>
            <w:vAlign w:val="center"/>
          </w:tcPr>
          <w:p w14:paraId="35CF74A5">
            <w:pPr>
              <w:widowControl/>
              <w:jc w:val="center"/>
              <w:textAlignment w:val="center"/>
              <w:rPr>
                <w:rFonts w:hint="eastAsia" w:cs="宋体" w:asciiTheme="minorHAnsi" w:hAnsiTheme="minorHAnsi" w:eastAsiaTheme="minorHAnsi"/>
                <w:b/>
                <w:kern w:val="0"/>
                <w:sz w:val="18"/>
                <w:szCs w:val="18"/>
              </w:rPr>
            </w:pPr>
            <w:r>
              <w:rPr>
                <w:rFonts w:hint="eastAsia" w:ascii="等线" w:hAnsi="等线" w:eastAsia="等线" w:cs="等线"/>
                <w:b/>
                <w:bCs/>
                <w:color w:val="000000"/>
                <w:kern w:val="0"/>
                <w:sz w:val="18"/>
                <w:szCs w:val="18"/>
                <w:lang w:bidi="ar"/>
              </w:rPr>
              <w:t>待租标的</w:t>
            </w:r>
          </w:p>
        </w:tc>
        <w:tc>
          <w:tcPr>
            <w:tcW w:w="851" w:type="dxa"/>
            <w:tcMar>
              <w:top w:w="15" w:type="dxa"/>
              <w:left w:w="15" w:type="dxa"/>
              <w:right w:w="15" w:type="dxa"/>
            </w:tcMar>
            <w:vAlign w:val="center"/>
          </w:tcPr>
          <w:p w14:paraId="61522343">
            <w:pPr>
              <w:widowControl/>
              <w:jc w:val="center"/>
              <w:textAlignment w:val="center"/>
              <w:rPr>
                <w:rFonts w:hint="eastAsia" w:cs="黑体" w:asciiTheme="minorHAnsi" w:hAnsiTheme="minorHAnsi" w:eastAsiaTheme="minorHAnsi"/>
                <w:b/>
                <w:sz w:val="18"/>
                <w:szCs w:val="18"/>
              </w:rPr>
            </w:pPr>
            <w:r>
              <w:rPr>
                <w:rFonts w:hint="eastAsia" w:ascii="等线" w:hAnsi="等线" w:eastAsia="等线" w:cs="等线"/>
                <w:b/>
                <w:bCs/>
                <w:color w:val="000000"/>
                <w:kern w:val="0"/>
                <w:sz w:val="18"/>
                <w:szCs w:val="18"/>
                <w:lang w:bidi="ar"/>
              </w:rPr>
              <w:t>建筑面积(平方米)</w:t>
            </w:r>
          </w:p>
        </w:tc>
        <w:tc>
          <w:tcPr>
            <w:tcW w:w="850" w:type="dxa"/>
            <w:tcMar>
              <w:top w:w="15" w:type="dxa"/>
              <w:left w:w="15" w:type="dxa"/>
              <w:right w:w="15" w:type="dxa"/>
            </w:tcMar>
            <w:vAlign w:val="center"/>
          </w:tcPr>
          <w:p w14:paraId="790132F0">
            <w:pPr>
              <w:widowControl/>
              <w:jc w:val="center"/>
              <w:textAlignment w:val="center"/>
              <w:rPr>
                <w:rFonts w:hint="eastAsia" w:cs="黑体" w:asciiTheme="minorHAnsi" w:hAnsiTheme="minorHAnsi" w:eastAsiaTheme="minorHAnsi"/>
                <w:b/>
                <w:sz w:val="18"/>
                <w:szCs w:val="18"/>
              </w:rPr>
            </w:pPr>
            <w:r>
              <w:rPr>
                <w:rFonts w:hint="eastAsia" w:ascii="等线" w:hAnsi="等线" w:eastAsia="等线" w:cs="等线"/>
                <w:b/>
                <w:bCs/>
                <w:color w:val="000000"/>
                <w:kern w:val="0"/>
                <w:sz w:val="18"/>
                <w:szCs w:val="18"/>
                <w:lang w:bidi="ar"/>
              </w:rPr>
              <w:t>租金底价(元/月)</w:t>
            </w:r>
          </w:p>
        </w:tc>
        <w:tc>
          <w:tcPr>
            <w:tcW w:w="851" w:type="dxa"/>
            <w:vAlign w:val="center"/>
          </w:tcPr>
          <w:p w14:paraId="28D9FC49">
            <w:pPr>
              <w:widowControl/>
              <w:jc w:val="center"/>
              <w:textAlignment w:val="center"/>
              <w:rPr>
                <w:rFonts w:hint="eastAsia" w:cs="宋体" w:asciiTheme="minorHAnsi" w:hAnsiTheme="minorHAnsi" w:eastAsiaTheme="minorHAnsi"/>
                <w:b/>
                <w:kern w:val="0"/>
                <w:sz w:val="18"/>
                <w:szCs w:val="18"/>
              </w:rPr>
            </w:pPr>
            <w:r>
              <w:rPr>
                <w:rFonts w:hint="eastAsia" w:ascii="等线" w:hAnsi="等线" w:eastAsia="等线" w:cs="等线"/>
                <w:b/>
                <w:bCs/>
                <w:color w:val="000000"/>
                <w:kern w:val="0"/>
                <w:sz w:val="18"/>
                <w:szCs w:val="18"/>
                <w:lang w:bidi="ar"/>
              </w:rPr>
              <w:t>保证金(元)</w:t>
            </w:r>
          </w:p>
        </w:tc>
        <w:tc>
          <w:tcPr>
            <w:tcW w:w="850" w:type="dxa"/>
            <w:vAlign w:val="center"/>
          </w:tcPr>
          <w:p w14:paraId="6CB78BB3">
            <w:pPr>
              <w:widowControl/>
              <w:jc w:val="center"/>
              <w:textAlignment w:val="center"/>
              <w:rPr>
                <w:rFonts w:hint="eastAsia" w:cs="宋体" w:asciiTheme="minorHAnsi" w:hAnsiTheme="minorHAnsi" w:eastAsiaTheme="minorHAnsi"/>
                <w:b/>
                <w:kern w:val="0"/>
                <w:sz w:val="18"/>
                <w:szCs w:val="18"/>
              </w:rPr>
            </w:pPr>
            <w:r>
              <w:rPr>
                <w:rFonts w:hint="eastAsia" w:ascii="等线" w:hAnsi="等线" w:eastAsia="等线" w:cs="等线"/>
                <w:b/>
                <w:bCs/>
                <w:color w:val="000000"/>
                <w:kern w:val="0"/>
                <w:sz w:val="18"/>
                <w:szCs w:val="18"/>
                <w:lang w:bidi="ar"/>
              </w:rPr>
              <w:t>加价幅度(元)</w:t>
            </w:r>
          </w:p>
        </w:tc>
        <w:tc>
          <w:tcPr>
            <w:tcW w:w="2257" w:type="dxa"/>
            <w:vAlign w:val="center"/>
          </w:tcPr>
          <w:p w14:paraId="0B87A319">
            <w:pPr>
              <w:widowControl/>
              <w:jc w:val="center"/>
              <w:textAlignment w:val="center"/>
              <w:rPr>
                <w:rFonts w:hint="eastAsia" w:cs="黑体" w:asciiTheme="minorHAnsi" w:hAnsiTheme="minorHAnsi" w:eastAsiaTheme="minorHAnsi"/>
                <w:b/>
                <w:kern w:val="0"/>
                <w:sz w:val="18"/>
                <w:szCs w:val="18"/>
                <w:lang w:bidi="ar"/>
              </w:rPr>
            </w:pPr>
            <w:r>
              <w:rPr>
                <w:rFonts w:hint="eastAsia" w:ascii="等线" w:hAnsi="等线" w:eastAsia="等线" w:cs="等线"/>
                <w:b/>
                <w:bCs/>
                <w:color w:val="000000"/>
                <w:kern w:val="0"/>
                <w:sz w:val="18"/>
                <w:szCs w:val="18"/>
                <w:lang w:bidi="ar"/>
              </w:rPr>
              <w:t>租赁业态</w:t>
            </w:r>
          </w:p>
        </w:tc>
        <w:tc>
          <w:tcPr>
            <w:tcW w:w="931" w:type="dxa"/>
            <w:vAlign w:val="center"/>
          </w:tcPr>
          <w:p w14:paraId="1B3D42B7">
            <w:pPr>
              <w:widowControl/>
              <w:jc w:val="center"/>
              <w:textAlignment w:val="center"/>
              <w:rPr>
                <w:rFonts w:hint="eastAsia" w:ascii="等线" w:hAnsi="等线" w:eastAsia="等线" w:cs="等线"/>
                <w:b/>
                <w:bCs/>
                <w:color w:val="000000"/>
                <w:kern w:val="0"/>
                <w:sz w:val="18"/>
                <w:szCs w:val="18"/>
                <w:lang w:bidi="ar"/>
              </w:rPr>
            </w:pPr>
            <w:r>
              <w:rPr>
                <w:rFonts w:hint="eastAsia" w:ascii="等线" w:hAnsi="等线" w:eastAsia="等线" w:cs="等线"/>
                <w:b/>
                <w:bCs/>
                <w:color w:val="000000"/>
                <w:kern w:val="0"/>
                <w:sz w:val="18"/>
                <w:szCs w:val="18"/>
                <w:lang w:bidi="ar"/>
              </w:rPr>
              <w:t>备注</w:t>
            </w:r>
          </w:p>
        </w:tc>
      </w:tr>
      <w:tr w14:paraId="30A0803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510" w:hRule="atLeast"/>
          <w:jc w:val="center"/>
        </w:trPr>
        <w:tc>
          <w:tcPr>
            <w:tcW w:w="570" w:type="dxa"/>
            <w:tcMar>
              <w:top w:w="15" w:type="dxa"/>
              <w:left w:w="15" w:type="dxa"/>
              <w:right w:w="15" w:type="dxa"/>
            </w:tcMar>
            <w:vAlign w:val="center"/>
          </w:tcPr>
          <w:p w14:paraId="1301938C">
            <w:pPr>
              <w:widowControl/>
              <w:jc w:val="center"/>
              <w:textAlignment w:val="center"/>
              <w:rPr>
                <w:rFonts w:hint="eastAsia" w:cs="宋体" w:asciiTheme="minorHAnsi" w:hAnsiTheme="minorHAnsi" w:eastAsiaTheme="minorHAnsi"/>
                <w:kern w:val="0"/>
                <w:sz w:val="18"/>
                <w:szCs w:val="18"/>
              </w:rPr>
            </w:pPr>
            <w:bookmarkStart w:id="0" w:name="OLE_LINK1" w:colFirst="6" w:colLast="6"/>
            <w:r>
              <w:rPr>
                <w:rFonts w:hint="eastAsia" w:cs="宋体" w:asciiTheme="minorHAnsi" w:hAnsiTheme="minorHAnsi"/>
                <w:color w:val="000000"/>
                <w:kern w:val="0"/>
                <w:sz w:val="18"/>
                <w:szCs w:val="18"/>
                <w:lang w:bidi="ar"/>
              </w:rPr>
              <w:t>1</w:t>
            </w:r>
          </w:p>
        </w:tc>
        <w:tc>
          <w:tcPr>
            <w:tcW w:w="1218" w:type="dxa"/>
            <w:noWrap/>
            <w:tcMar>
              <w:top w:w="15" w:type="dxa"/>
              <w:left w:w="15" w:type="dxa"/>
              <w:right w:w="15" w:type="dxa"/>
            </w:tcMar>
            <w:vAlign w:val="center"/>
          </w:tcPr>
          <w:p w14:paraId="294A259D">
            <w:pPr>
              <w:widowControl/>
              <w:jc w:val="center"/>
              <w:textAlignment w:val="center"/>
              <w:rPr>
                <w:rFonts w:hint="eastAsia" w:cs="宋体" w:asciiTheme="minorHAnsi" w:hAnsiTheme="minorHAnsi" w:eastAsiaTheme="minorHAnsi"/>
                <w:kern w:val="0"/>
                <w:sz w:val="18"/>
                <w:szCs w:val="18"/>
              </w:rPr>
            </w:pPr>
            <w:r>
              <w:rPr>
                <w:rFonts w:hint="eastAsia" w:cs="宋体" w:asciiTheme="minorHAnsi" w:hAnsiTheme="minorHAnsi" w:eastAsiaTheme="minorHAnsi"/>
                <w:kern w:val="0"/>
                <w:sz w:val="18"/>
                <w:szCs w:val="18"/>
              </w:rPr>
              <w:t>观音山公寓</w:t>
            </w:r>
          </w:p>
        </w:tc>
        <w:tc>
          <w:tcPr>
            <w:tcW w:w="1901" w:type="dxa"/>
            <w:tcMar>
              <w:top w:w="15" w:type="dxa"/>
              <w:left w:w="15" w:type="dxa"/>
              <w:right w:w="15" w:type="dxa"/>
            </w:tcMar>
            <w:vAlign w:val="center"/>
          </w:tcPr>
          <w:p w14:paraId="39DE8DF3">
            <w:pPr>
              <w:widowControl/>
              <w:jc w:val="center"/>
              <w:textAlignment w:val="center"/>
              <w:rPr>
                <w:rFonts w:hint="eastAsia" w:cs="宋体" w:asciiTheme="minorHAnsi" w:hAnsiTheme="minorHAnsi" w:eastAsiaTheme="minorHAnsi"/>
                <w:kern w:val="0"/>
                <w:sz w:val="18"/>
                <w:szCs w:val="18"/>
              </w:rPr>
            </w:pPr>
            <w:r>
              <w:rPr>
                <w:rFonts w:hint="eastAsia" w:ascii="等线" w:hAnsi="等线" w:eastAsia="等线" w:cs="等线"/>
                <w:color w:val="000000"/>
                <w:kern w:val="0"/>
                <w:sz w:val="18"/>
                <w:szCs w:val="18"/>
                <w:lang w:bidi="ar"/>
              </w:rPr>
              <w:t>塔埔路98号（第四层）</w:t>
            </w:r>
          </w:p>
        </w:tc>
        <w:tc>
          <w:tcPr>
            <w:tcW w:w="851" w:type="dxa"/>
            <w:tcMar>
              <w:top w:w="15" w:type="dxa"/>
              <w:left w:w="15" w:type="dxa"/>
              <w:right w:w="15" w:type="dxa"/>
            </w:tcMar>
            <w:vAlign w:val="center"/>
          </w:tcPr>
          <w:p w14:paraId="114C45CA">
            <w:pPr>
              <w:widowControl/>
              <w:jc w:val="center"/>
              <w:textAlignment w:val="center"/>
              <w:rPr>
                <w:rFonts w:hint="eastAsia" w:cs="宋体" w:asciiTheme="minorHAnsi" w:hAnsiTheme="minorHAnsi" w:eastAsiaTheme="minorHAnsi"/>
                <w:kern w:val="0"/>
                <w:sz w:val="18"/>
                <w:szCs w:val="18"/>
              </w:rPr>
            </w:pPr>
            <w:r>
              <w:rPr>
                <w:rFonts w:hint="eastAsia" w:ascii="等线" w:hAnsi="等线" w:eastAsia="等线" w:cs="等线"/>
                <w:color w:val="000000"/>
                <w:kern w:val="0"/>
                <w:sz w:val="18"/>
                <w:szCs w:val="18"/>
                <w:lang w:bidi="ar"/>
              </w:rPr>
              <w:t>5609.97</w:t>
            </w:r>
          </w:p>
        </w:tc>
        <w:tc>
          <w:tcPr>
            <w:tcW w:w="850" w:type="dxa"/>
            <w:tcMar>
              <w:top w:w="15" w:type="dxa"/>
              <w:left w:w="15" w:type="dxa"/>
              <w:right w:w="15" w:type="dxa"/>
            </w:tcMar>
            <w:vAlign w:val="center"/>
          </w:tcPr>
          <w:p w14:paraId="2C58D41D">
            <w:pPr>
              <w:widowControl/>
              <w:jc w:val="center"/>
              <w:textAlignment w:val="center"/>
              <w:rPr>
                <w:rFonts w:hint="eastAsia" w:eastAsia="等线" w:cs="等线" w:asciiTheme="minorHAnsi" w:hAnsiTheme="minorHAnsi"/>
                <w:color w:val="000000"/>
                <w:kern w:val="0"/>
                <w:sz w:val="18"/>
                <w:szCs w:val="18"/>
                <w:lang w:bidi="ar"/>
              </w:rPr>
            </w:pPr>
            <w:r>
              <w:rPr>
                <w:rFonts w:hint="eastAsia" w:eastAsia="等线" w:cs="等线" w:asciiTheme="minorHAnsi" w:hAnsiTheme="minorHAnsi"/>
                <w:color w:val="000000"/>
                <w:kern w:val="0"/>
                <w:sz w:val="18"/>
                <w:szCs w:val="18"/>
                <w:lang w:bidi="ar"/>
              </w:rPr>
              <w:t>50630</w:t>
            </w:r>
          </w:p>
        </w:tc>
        <w:tc>
          <w:tcPr>
            <w:tcW w:w="851" w:type="dxa"/>
            <w:vAlign w:val="center"/>
          </w:tcPr>
          <w:p w14:paraId="2913D75B">
            <w:pPr>
              <w:widowControl/>
              <w:jc w:val="center"/>
              <w:textAlignment w:val="center"/>
              <w:rPr>
                <w:rFonts w:hint="default" w:ascii="等线" w:hAnsi="等线" w:eastAsia="等线" w:cs="等线"/>
                <w:color w:val="000000"/>
                <w:kern w:val="0"/>
                <w:sz w:val="18"/>
                <w:szCs w:val="18"/>
                <w:lang w:val="en-US" w:eastAsia="zh-CN" w:bidi="ar"/>
              </w:rPr>
            </w:pPr>
            <w:r>
              <w:rPr>
                <w:rFonts w:hint="eastAsia" w:ascii="等线" w:hAnsi="等线" w:eastAsia="等线" w:cs="等线"/>
                <w:color w:val="000000"/>
                <w:kern w:val="0"/>
                <w:sz w:val="18"/>
                <w:szCs w:val="18"/>
                <w:lang w:val="en-US" w:eastAsia="zh-CN" w:bidi="ar"/>
              </w:rPr>
              <w:t>303780</w:t>
            </w:r>
          </w:p>
        </w:tc>
        <w:tc>
          <w:tcPr>
            <w:tcW w:w="850" w:type="dxa"/>
            <w:vAlign w:val="center"/>
          </w:tcPr>
          <w:p w14:paraId="4E6F4781">
            <w:pPr>
              <w:widowControl/>
              <w:jc w:val="center"/>
              <w:textAlignment w:val="center"/>
              <w:rPr>
                <w:rFonts w:hint="eastAsia" w:ascii="等线" w:hAnsi="等线" w:eastAsia="等线" w:cs="等线"/>
                <w:color w:val="000000"/>
                <w:kern w:val="0"/>
                <w:sz w:val="18"/>
                <w:szCs w:val="18"/>
                <w:lang w:bidi="ar"/>
              </w:rPr>
            </w:pPr>
            <w:r>
              <w:rPr>
                <w:rFonts w:hint="eastAsia" w:ascii="等线" w:hAnsi="等线" w:eastAsia="等线" w:cs="等线"/>
                <w:color w:val="000000"/>
                <w:kern w:val="0"/>
                <w:sz w:val="18"/>
                <w:szCs w:val="18"/>
                <w:lang w:val="en-US" w:eastAsia="zh-CN" w:bidi="ar"/>
              </w:rPr>
              <w:t>1015</w:t>
            </w:r>
            <w:r>
              <w:rPr>
                <w:rFonts w:hint="eastAsia" w:ascii="等线" w:hAnsi="等线" w:eastAsia="等线" w:cs="等线"/>
                <w:color w:val="000000"/>
                <w:kern w:val="0"/>
                <w:sz w:val="18"/>
                <w:szCs w:val="18"/>
                <w:lang w:bidi="ar"/>
              </w:rPr>
              <w:t xml:space="preserve"> </w:t>
            </w:r>
          </w:p>
        </w:tc>
        <w:tc>
          <w:tcPr>
            <w:tcW w:w="2257" w:type="dxa"/>
            <w:vAlign w:val="center"/>
          </w:tcPr>
          <w:p w14:paraId="69365F75">
            <w:pPr>
              <w:widowControl/>
              <w:jc w:val="center"/>
              <w:textAlignment w:val="center"/>
              <w:rPr>
                <w:rFonts w:hint="eastAsia" w:cs="宋体" w:asciiTheme="minorHAnsi" w:hAnsiTheme="minorHAnsi" w:eastAsiaTheme="minorHAnsi"/>
                <w:bCs/>
                <w:kern w:val="0"/>
                <w:sz w:val="18"/>
                <w:szCs w:val="18"/>
              </w:rPr>
            </w:pPr>
            <w:r>
              <w:rPr>
                <w:rFonts w:hint="eastAsia" w:ascii="等线" w:hAnsi="等线" w:eastAsia="等线" w:cs="等线"/>
                <w:kern w:val="0"/>
                <w:sz w:val="18"/>
                <w:szCs w:val="18"/>
                <w:lang w:bidi="ar"/>
              </w:rPr>
              <w:t>商业（符合国家法律法规规定的行业；完全符合消防、环保等相关法律法规要求的行业；不会产生噪音扰民的行业；不会使用明火（原设计已保有且招标人同意的除外）或会产生油烟扰民的餐饮行业；不得从事废品回收行业、活禽贮存及宰杀相关业务）</w:t>
            </w:r>
          </w:p>
        </w:tc>
        <w:tc>
          <w:tcPr>
            <w:tcW w:w="931" w:type="dxa"/>
            <w:vAlign w:val="center"/>
          </w:tcPr>
          <w:p w14:paraId="7B36804D">
            <w:pPr>
              <w:widowControl/>
              <w:jc w:val="center"/>
              <w:textAlignment w:val="center"/>
              <w:rPr>
                <w:rFonts w:hint="eastAsia" w:cs="宋体" w:asciiTheme="minorHAnsi" w:hAnsiTheme="minorHAnsi" w:eastAsiaTheme="minorHAnsi"/>
                <w:bCs/>
                <w:kern w:val="0"/>
                <w:sz w:val="18"/>
                <w:szCs w:val="18"/>
              </w:rPr>
            </w:pPr>
          </w:p>
        </w:tc>
      </w:tr>
      <w:bookmarkEnd w:id="0"/>
      <w:tr w14:paraId="56FAB2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0" w:type="dxa"/>
            <w:bottom w:w="0" w:type="dxa"/>
            <w:right w:w="0" w:type="dxa"/>
          </w:tblCellMar>
        </w:tblPrEx>
        <w:trPr>
          <w:trHeight w:val="340" w:hRule="atLeast"/>
          <w:jc w:val="center"/>
        </w:trPr>
        <w:tc>
          <w:tcPr>
            <w:tcW w:w="10279" w:type="dxa"/>
            <w:gridSpan w:val="9"/>
            <w:tcMar>
              <w:top w:w="15" w:type="dxa"/>
              <w:left w:w="15" w:type="dxa"/>
              <w:right w:w="15" w:type="dxa"/>
            </w:tcMar>
            <w:vAlign w:val="center"/>
          </w:tcPr>
          <w:p w14:paraId="6D48C617">
            <w:pPr>
              <w:autoSpaceDE w:val="0"/>
              <w:autoSpaceDN w:val="0"/>
              <w:adjustRightInd w:val="0"/>
              <w:snapToGrid w:val="0"/>
              <w:spacing w:line="240" w:lineRule="exact"/>
              <w:rPr>
                <w:rFonts w:hint="eastAsia"/>
              </w:rPr>
            </w:pPr>
            <w:r>
              <w:rPr>
                <w:rFonts w:hint="eastAsia" w:asciiTheme="minorEastAsia" w:hAnsiTheme="minorEastAsia" w:eastAsiaTheme="minorEastAsia"/>
                <w:b/>
                <w:color w:val="FF0000"/>
                <w:sz w:val="18"/>
                <w:szCs w:val="18"/>
              </w:rPr>
              <w:t>标的情况告知：</w:t>
            </w:r>
            <w:r>
              <w:rPr>
                <w:rFonts w:hint="eastAsia" w:cs="黑体" w:asciiTheme="minorEastAsia" w:hAnsiTheme="minorEastAsia" w:eastAsiaTheme="minorEastAsia"/>
                <w:bCs/>
                <w:kern w:val="0"/>
                <w:sz w:val="18"/>
                <w:szCs w:val="18"/>
                <w:lang w:bidi="ar"/>
              </w:rPr>
              <w:t>（1）本标的《中华人民共和国不动产权证书》尚未办理，竞</w:t>
            </w:r>
            <w:r>
              <w:rPr>
                <w:rFonts w:hint="eastAsia" w:cs="黑体" w:asciiTheme="minorEastAsia" w:hAnsiTheme="minorEastAsia" w:eastAsiaTheme="minorEastAsia"/>
                <w:bCs/>
                <w:kern w:val="0"/>
                <w:sz w:val="18"/>
                <w:szCs w:val="18"/>
                <w:lang w:val="en-US" w:eastAsia="zh-CN" w:bidi="ar"/>
              </w:rPr>
              <w:t>价</w:t>
            </w:r>
            <w:r>
              <w:rPr>
                <w:rFonts w:hint="eastAsia" w:cs="黑体" w:asciiTheme="minorEastAsia" w:hAnsiTheme="minorEastAsia" w:eastAsiaTheme="minorEastAsia"/>
                <w:bCs/>
                <w:kern w:val="0"/>
                <w:sz w:val="18"/>
                <w:szCs w:val="18"/>
                <w:lang w:bidi="ar"/>
              </w:rPr>
              <w:t>人需确认已知悉该情况，如拟经营需要提供《中华人民共和国不动产权证书》才能经营的项目</w:t>
            </w:r>
            <w:r>
              <w:rPr>
                <w:rFonts w:hint="eastAsia" w:cs="黑体" w:asciiTheme="minorEastAsia" w:hAnsiTheme="minorEastAsia" w:eastAsiaTheme="minorEastAsia"/>
                <w:bCs/>
                <w:kern w:val="0"/>
                <w:sz w:val="18"/>
                <w:szCs w:val="18"/>
                <w:lang w:val="en-US" w:eastAsia="zh-CN" w:bidi="ar"/>
              </w:rPr>
              <w:t>标的</w:t>
            </w:r>
            <w:r>
              <w:rPr>
                <w:rFonts w:hint="eastAsia" w:cs="黑体" w:asciiTheme="minorEastAsia" w:hAnsiTheme="minorEastAsia" w:eastAsiaTheme="minorEastAsia"/>
                <w:bCs/>
                <w:kern w:val="0"/>
                <w:sz w:val="18"/>
                <w:szCs w:val="18"/>
                <w:lang w:bidi="ar"/>
              </w:rPr>
              <w:t>，请</w:t>
            </w:r>
            <w:r>
              <w:rPr>
                <w:rFonts w:hint="eastAsia" w:cs="黑体" w:asciiTheme="minorEastAsia" w:hAnsiTheme="minorEastAsia" w:eastAsiaTheme="minorEastAsia"/>
                <w:bCs/>
                <w:kern w:val="0"/>
                <w:sz w:val="18"/>
                <w:szCs w:val="18"/>
                <w:lang w:val="en-US" w:eastAsia="zh-CN" w:bidi="ar"/>
              </w:rPr>
              <w:t>勿</w:t>
            </w:r>
            <w:r>
              <w:rPr>
                <w:rFonts w:hint="eastAsia" w:cs="黑体" w:asciiTheme="minorEastAsia" w:hAnsiTheme="minorEastAsia" w:eastAsiaTheme="minorEastAsia"/>
                <w:bCs/>
                <w:kern w:val="0"/>
                <w:sz w:val="18"/>
                <w:szCs w:val="18"/>
                <w:lang w:bidi="ar"/>
              </w:rPr>
              <w:t>参加本次竞拍。竞</w:t>
            </w:r>
            <w:r>
              <w:rPr>
                <w:rFonts w:hint="eastAsia" w:cs="黑体" w:asciiTheme="minorEastAsia" w:hAnsiTheme="minorEastAsia" w:eastAsiaTheme="minorEastAsia"/>
                <w:bCs/>
                <w:kern w:val="0"/>
                <w:sz w:val="18"/>
                <w:szCs w:val="18"/>
                <w:lang w:val="en-US" w:eastAsia="zh-CN" w:bidi="ar"/>
              </w:rPr>
              <w:t>价</w:t>
            </w:r>
            <w:r>
              <w:rPr>
                <w:rFonts w:hint="eastAsia" w:cs="黑体" w:asciiTheme="minorEastAsia" w:hAnsiTheme="minorEastAsia" w:eastAsiaTheme="minorEastAsia"/>
                <w:bCs/>
                <w:kern w:val="0"/>
                <w:sz w:val="18"/>
                <w:szCs w:val="18"/>
                <w:lang w:bidi="ar"/>
              </w:rPr>
              <w:t>人成为最终中标人后不得因此向招标人提出任何诉求，且竞</w:t>
            </w:r>
            <w:r>
              <w:rPr>
                <w:rFonts w:hint="eastAsia" w:cs="黑体" w:asciiTheme="minorEastAsia" w:hAnsiTheme="minorEastAsia" w:eastAsiaTheme="minorEastAsia"/>
                <w:bCs/>
                <w:kern w:val="0"/>
                <w:sz w:val="18"/>
                <w:szCs w:val="18"/>
                <w:lang w:val="en-US" w:eastAsia="zh-CN" w:bidi="ar"/>
              </w:rPr>
              <w:t>价</w:t>
            </w:r>
            <w:r>
              <w:rPr>
                <w:rFonts w:hint="eastAsia" w:cs="黑体" w:asciiTheme="minorEastAsia" w:hAnsiTheme="minorEastAsia" w:eastAsiaTheme="minorEastAsia"/>
                <w:bCs/>
                <w:kern w:val="0"/>
                <w:sz w:val="18"/>
                <w:szCs w:val="18"/>
                <w:lang w:bidi="ar"/>
              </w:rPr>
              <w:t>人应自行承担由此造成的一切后果。（</w:t>
            </w:r>
            <w:r>
              <w:rPr>
                <w:rFonts w:hint="eastAsia" w:cs="黑体" w:asciiTheme="minorEastAsia" w:hAnsiTheme="minorEastAsia" w:eastAsiaTheme="minorEastAsia"/>
                <w:bCs/>
                <w:kern w:val="0"/>
                <w:sz w:val="18"/>
                <w:szCs w:val="18"/>
                <w:lang w:val="en-US" w:eastAsia="zh-CN" w:bidi="ar"/>
              </w:rPr>
              <w:t>2</w:t>
            </w:r>
            <w:r>
              <w:rPr>
                <w:rFonts w:hint="eastAsia" w:cs="黑体" w:asciiTheme="minorEastAsia" w:hAnsiTheme="minorEastAsia" w:eastAsiaTheme="minorEastAsia"/>
                <w:bCs/>
                <w:kern w:val="0"/>
                <w:sz w:val="18"/>
                <w:szCs w:val="18"/>
                <w:lang w:bidi="ar"/>
              </w:rPr>
              <w:t>）该标的水电费由物业代收代缴。</w:t>
            </w:r>
          </w:p>
        </w:tc>
      </w:tr>
    </w:tbl>
    <w:p w14:paraId="0924938E">
      <w:pPr>
        <w:autoSpaceDE w:val="0"/>
        <w:autoSpaceDN w:val="0"/>
        <w:spacing w:line="240" w:lineRule="exact"/>
        <w:rPr>
          <w:rFonts w:hint="eastAsia" w:asciiTheme="minorEastAsia" w:hAnsiTheme="minorEastAsia" w:eastAsiaTheme="minorEastAsia"/>
          <w:b/>
          <w:sz w:val="18"/>
          <w:szCs w:val="18"/>
        </w:rPr>
      </w:pPr>
      <w:r>
        <w:rPr>
          <w:rFonts w:hint="eastAsia" w:asciiTheme="minorEastAsia" w:hAnsiTheme="minorEastAsia" w:eastAsiaTheme="minorEastAsia"/>
          <w:b/>
          <w:sz w:val="18"/>
          <w:szCs w:val="18"/>
        </w:rPr>
        <w:t>备注：</w:t>
      </w:r>
    </w:p>
    <w:p w14:paraId="0A6D6DC8">
      <w:pPr>
        <w:pStyle w:val="20"/>
        <w:numPr>
          <w:ilvl w:val="0"/>
          <w:numId w:val="1"/>
        </w:numPr>
        <w:autoSpaceDE w:val="0"/>
        <w:autoSpaceDN w:val="0"/>
        <w:spacing w:line="240" w:lineRule="exact"/>
        <w:ind w:firstLineChars="0"/>
        <w:rPr>
          <w:rFonts w:hint="eastAsia" w:asciiTheme="minorEastAsia" w:hAnsiTheme="minorEastAsia" w:eastAsiaTheme="minorEastAsia"/>
          <w:sz w:val="18"/>
          <w:szCs w:val="18"/>
        </w:rPr>
      </w:pPr>
      <w:r>
        <w:rPr>
          <w:rFonts w:hint="eastAsia" w:asciiTheme="minorEastAsia" w:hAnsiTheme="minorEastAsia" w:eastAsiaTheme="minorEastAsia"/>
          <w:b/>
          <w:sz w:val="18"/>
          <w:szCs w:val="18"/>
        </w:rPr>
        <w:t>租赁期限：</w:t>
      </w:r>
      <w:r>
        <w:rPr>
          <w:rFonts w:hint="eastAsia" w:asciiTheme="minorEastAsia" w:hAnsiTheme="minorEastAsia" w:eastAsiaTheme="minorEastAsia"/>
          <w:sz w:val="18"/>
          <w:szCs w:val="18"/>
        </w:rPr>
        <w:t>五年；</w:t>
      </w:r>
    </w:p>
    <w:p w14:paraId="2D7803E3">
      <w:pPr>
        <w:pStyle w:val="20"/>
        <w:numPr>
          <w:ilvl w:val="0"/>
          <w:numId w:val="1"/>
        </w:numPr>
        <w:autoSpaceDE w:val="0"/>
        <w:autoSpaceDN w:val="0"/>
        <w:spacing w:line="240" w:lineRule="exact"/>
        <w:ind w:firstLineChars="0"/>
        <w:rPr>
          <w:rFonts w:hint="eastAsia" w:cs="黑体" w:asciiTheme="minorEastAsia" w:hAnsiTheme="minorEastAsia" w:eastAsiaTheme="minorEastAsia"/>
          <w:b/>
          <w:kern w:val="0"/>
          <w:sz w:val="18"/>
          <w:szCs w:val="18"/>
          <w:lang w:bidi="ar"/>
        </w:rPr>
      </w:pPr>
      <w:r>
        <w:rPr>
          <w:rFonts w:hint="eastAsia" w:cs="黑体" w:asciiTheme="minorEastAsia" w:hAnsiTheme="minorEastAsia" w:eastAsiaTheme="minorEastAsia"/>
          <w:b/>
          <w:kern w:val="0"/>
          <w:sz w:val="18"/>
          <w:szCs w:val="18"/>
          <w:lang w:bidi="ar"/>
        </w:rPr>
        <w:t>免租期：</w:t>
      </w:r>
      <w:r>
        <w:rPr>
          <w:rFonts w:hint="eastAsia" w:cs="黑体" w:asciiTheme="minorEastAsia" w:hAnsiTheme="minorEastAsia" w:eastAsiaTheme="minorEastAsia"/>
          <w:bCs/>
          <w:kern w:val="0"/>
          <w:sz w:val="18"/>
          <w:szCs w:val="18"/>
          <w:lang w:bidi="ar"/>
        </w:rPr>
        <w:t xml:space="preserve"> 2个月；</w:t>
      </w:r>
    </w:p>
    <w:p w14:paraId="30380C6E">
      <w:pPr>
        <w:pStyle w:val="20"/>
        <w:numPr>
          <w:ilvl w:val="0"/>
          <w:numId w:val="1"/>
        </w:numPr>
        <w:autoSpaceDE w:val="0"/>
        <w:autoSpaceDN w:val="0"/>
        <w:spacing w:line="240" w:lineRule="exact"/>
        <w:ind w:firstLineChars="0"/>
        <w:rPr>
          <w:rFonts w:hint="eastAsia" w:cs="黑体" w:asciiTheme="minorEastAsia" w:hAnsiTheme="minorEastAsia" w:eastAsiaTheme="minorEastAsia"/>
          <w:b/>
          <w:kern w:val="0"/>
          <w:sz w:val="18"/>
          <w:szCs w:val="18"/>
          <w:lang w:bidi="ar"/>
        </w:rPr>
      </w:pPr>
      <w:r>
        <w:rPr>
          <w:rFonts w:hint="eastAsia" w:cs="黑体" w:asciiTheme="minorEastAsia" w:hAnsiTheme="minorEastAsia" w:eastAsiaTheme="minorEastAsia"/>
          <w:b/>
          <w:kern w:val="0"/>
          <w:sz w:val="18"/>
          <w:szCs w:val="18"/>
          <w:lang w:bidi="ar"/>
        </w:rPr>
        <w:t>租金收取方式</w:t>
      </w:r>
      <w:r>
        <w:rPr>
          <w:rFonts w:hint="eastAsia" w:asciiTheme="minorEastAsia" w:hAnsiTheme="minorEastAsia" w:eastAsiaTheme="minorEastAsia"/>
          <w:b/>
          <w:sz w:val="18"/>
          <w:szCs w:val="18"/>
        </w:rPr>
        <w:t>：</w:t>
      </w:r>
      <w:r>
        <w:rPr>
          <w:rFonts w:hint="eastAsia" w:cs="宋体" w:asciiTheme="minorEastAsia" w:hAnsiTheme="minorEastAsia" w:eastAsiaTheme="minorEastAsia"/>
          <w:kern w:val="0"/>
          <w:sz w:val="18"/>
          <w:szCs w:val="18"/>
        </w:rPr>
        <w:t>自第二个计租年度起，租金在实际中标价的基础上逐年递增5%；</w:t>
      </w:r>
    </w:p>
    <w:p w14:paraId="2D47AABF">
      <w:pPr>
        <w:pStyle w:val="20"/>
        <w:numPr>
          <w:ilvl w:val="0"/>
          <w:numId w:val="1"/>
        </w:numPr>
        <w:autoSpaceDE w:val="0"/>
        <w:autoSpaceDN w:val="0"/>
        <w:spacing w:line="240" w:lineRule="exact"/>
        <w:ind w:firstLineChars="0"/>
        <w:rPr>
          <w:rFonts w:hint="eastAsia" w:cs="黑体" w:asciiTheme="minorEastAsia" w:hAnsiTheme="minorEastAsia" w:eastAsiaTheme="minorEastAsia"/>
          <w:b/>
          <w:kern w:val="0"/>
          <w:sz w:val="18"/>
          <w:szCs w:val="18"/>
          <w:highlight w:val="none"/>
          <w:lang w:bidi="ar"/>
        </w:rPr>
      </w:pPr>
      <w:r>
        <w:rPr>
          <w:rFonts w:hint="eastAsia" w:asciiTheme="minorEastAsia" w:hAnsiTheme="minorEastAsia" w:eastAsiaTheme="minorEastAsia"/>
          <w:b/>
          <w:sz w:val="18"/>
          <w:szCs w:val="18"/>
          <w:highlight w:val="none"/>
        </w:rPr>
        <w:t>物业费：</w:t>
      </w:r>
      <w:r>
        <w:rPr>
          <w:rFonts w:hint="eastAsia" w:asciiTheme="minorEastAsia" w:hAnsiTheme="minorEastAsia" w:eastAsiaTheme="minorEastAsia"/>
          <w:bCs/>
          <w:sz w:val="18"/>
          <w:szCs w:val="18"/>
          <w:highlight w:val="none"/>
        </w:rPr>
        <w:t>物业费与公维金请自行到属地社区咨询，且以属地物业实际缴收为准。</w:t>
      </w:r>
    </w:p>
    <w:p w14:paraId="20C98002">
      <w:pPr>
        <w:pStyle w:val="20"/>
        <w:numPr>
          <w:ilvl w:val="0"/>
          <w:numId w:val="1"/>
        </w:numPr>
        <w:autoSpaceDE w:val="0"/>
        <w:autoSpaceDN w:val="0"/>
        <w:spacing w:line="240" w:lineRule="exact"/>
        <w:ind w:firstLineChars="0"/>
        <w:rPr>
          <w:rFonts w:hint="eastAsia" w:cs="黑体" w:asciiTheme="minorEastAsia" w:hAnsiTheme="minorEastAsia" w:eastAsiaTheme="minorEastAsia"/>
          <w:b/>
          <w:kern w:val="0"/>
          <w:sz w:val="18"/>
          <w:szCs w:val="18"/>
          <w:highlight w:val="none"/>
          <w:lang w:bidi="ar"/>
        </w:rPr>
      </w:pPr>
      <w:r>
        <w:rPr>
          <w:rFonts w:hint="eastAsia" w:asciiTheme="minorEastAsia" w:hAnsiTheme="minorEastAsia" w:eastAsiaTheme="minorEastAsia"/>
          <w:bCs/>
          <w:sz w:val="18"/>
          <w:szCs w:val="18"/>
          <w:highlight w:val="none"/>
        </w:rPr>
        <w:t>如项目存在店面共用设施设备（包括但不限于隔油池、电梯等），承租人因生产经营需要使用上述设施设备的，请自行与属地物业联系报备并承担相关费用。</w:t>
      </w:r>
      <w:bookmarkStart w:id="1" w:name="_GoBack"/>
      <w:bookmarkEnd w:id="1"/>
    </w:p>
    <w:p w14:paraId="198EAD69">
      <w:pPr>
        <w:pStyle w:val="20"/>
        <w:numPr>
          <w:ilvl w:val="0"/>
          <w:numId w:val="1"/>
        </w:numPr>
        <w:autoSpaceDE w:val="0"/>
        <w:autoSpaceDN w:val="0"/>
        <w:spacing w:line="240" w:lineRule="exact"/>
        <w:ind w:firstLineChars="0"/>
        <w:rPr>
          <w:rFonts w:hint="eastAsia" w:cs="黑体" w:asciiTheme="minorEastAsia" w:hAnsiTheme="minorEastAsia" w:eastAsiaTheme="minorEastAsia"/>
          <w:b/>
          <w:kern w:val="0"/>
          <w:sz w:val="18"/>
          <w:szCs w:val="18"/>
          <w:highlight w:val="none"/>
          <w:lang w:bidi="ar"/>
        </w:rPr>
      </w:pPr>
      <w:r>
        <w:rPr>
          <w:rFonts w:hint="eastAsia" w:asciiTheme="minorEastAsia" w:hAnsiTheme="minorEastAsia" w:eastAsiaTheme="minorEastAsia"/>
          <w:b/>
          <w:sz w:val="18"/>
          <w:szCs w:val="18"/>
          <w:highlight w:val="none"/>
        </w:rPr>
        <w:t>友情提示：</w:t>
      </w:r>
      <w:r>
        <w:rPr>
          <w:rFonts w:hint="eastAsia" w:asciiTheme="minorEastAsia" w:hAnsiTheme="minorEastAsia" w:eastAsiaTheme="minorEastAsia"/>
          <w:bCs/>
          <w:sz w:val="18"/>
          <w:szCs w:val="18"/>
          <w:highlight w:val="none"/>
        </w:rPr>
        <w:t>承租人应按竞价公告规定时间预约、参加看样，对租赁物周边环境是否允许停放车辆、从事洗车美容等汽修业态或存放生产物资、物料的，需自行考量并向物业服务企业和有关管理部门提前咨询了解，否则因此造成的相关损失均由承租人自行承担。商用停车位由属地物业管理公司统一规划，有偿使用。</w:t>
      </w:r>
    </w:p>
    <w:p w14:paraId="65726BA8">
      <w:pPr>
        <w:pStyle w:val="20"/>
        <w:numPr>
          <w:ilvl w:val="0"/>
          <w:numId w:val="1"/>
        </w:numPr>
        <w:autoSpaceDE w:val="0"/>
        <w:autoSpaceDN w:val="0"/>
        <w:spacing w:line="240" w:lineRule="exact"/>
        <w:ind w:firstLineChars="0"/>
        <w:rPr>
          <w:rFonts w:hint="eastAsia" w:cs="黑体" w:asciiTheme="minorEastAsia" w:hAnsiTheme="minorEastAsia" w:eastAsiaTheme="minorEastAsia"/>
          <w:b/>
          <w:kern w:val="0"/>
          <w:sz w:val="18"/>
          <w:szCs w:val="18"/>
          <w:highlight w:val="none"/>
          <w:lang w:bidi="ar"/>
        </w:rPr>
      </w:pPr>
      <w:r>
        <w:rPr>
          <w:rFonts w:hint="eastAsia" w:ascii="等线" w:hAnsi="等线" w:eastAsia="等线" w:cs="仿宋_GB2312"/>
          <w:bCs/>
          <w:sz w:val="18"/>
          <w:szCs w:val="18"/>
          <w:highlight w:val="none"/>
        </w:rPr>
        <w:t>在竞价结束后到房屋租赁合同签订并完成交房手续前，中标人不得通过任何方式提前进入中标店面并开展包括但不限于堆放物品或材料、提前开展任何形式装修（含铺砖、刷白、砌墙、管线改造铺设等）等任何使用店面的行为。如有发现，我司将视为严重违反《</w:t>
      </w:r>
      <w:r>
        <w:rPr>
          <w:rFonts w:hint="eastAsia" w:ascii="等线" w:hAnsi="等线" w:eastAsia="等线" w:cs="仿宋_GB2312"/>
          <w:bCs/>
          <w:sz w:val="18"/>
          <w:szCs w:val="18"/>
          <w:highlight w:val="none"/>
          <w:lang w:val="en-US" w:eastAsia="zh-CN"/>
        </w:rPr>
        <w:t>招租</w:t>
      </w:r>
      <w:r>
        <w:rPr>
          <w:rFonts w:hint="eastAsia" w:ascii="等线" w:hAnsi="等线" w:eastAsia="等线" w:cs="仿宋_GB2312"/>
          <w:bCs/>
          <w:sz w:val="18"/>
          <w:szCs w:val="18"/>
          <w:highlight w:val="none"/>
        </w:rPr>
        <w:t>公告》及《竞价协议书》相关约定，可采取包括但不限于取消最终中标人资格、不予返还竞价保证金等措施。</w:t>
      </w:r>
    </w:p>
    <w:p w14:paraId="3C06AC97">
      <w:pPr>
        <w:pStyle w:val="20"/>
        <w:numPr>
          <w:ilvl w:val="0"/>
          <w:numId w:val="1"/>
        </w:numPr>
        <w:autoSpaceDE w:val="0"/>
        <w:autoSpaceDN w:val="0"/>
        <w:spacing w:line="240" w:lineRule="exact"/>
        <w:ind w:firstLineChars="0"/>
        <w:rPr>
          <w:rFonts w:hint="eastAsia" w:cs="黑体" w:asciiTheme="minorEastAsia" w:hAnsiTheme="minorEastAsia" w:eastAsiaTheme="minorEastAsia"/>
          <w:b/>
          <w:kern w:val="0"/>
          <w:sz w:val="18"/>
          <w:szCs w:val="18"/>
          <w:highlight w:val="none"/>
          <w:lang w:bidi="ar"/>
        </w:rPr>
      </w:pPr>
      <w:r>
        <w:rPr>
          <w:rFonts w:hint="eastAsia" w:ascii="等线" w:hAnsi="等线" w:eastAsia="等线" w:cs="仿宋_GB2312"/>
          <w:bCs/>
          <w:sz w:val="18"/>
          <w:szCs w:val="18"/>
          <w:highlight w:val="none"/>
        </w:rPr>
        <w:t>竞价清单中店面备注内容为温馨提醒，不作为店面所有瑕疵的展示。竞价人须自行对租赁房屋及其附属设备设施的现状、周边环境、物业管理情况等进行现场察看及充分了解。竞价人已经通过查阅文件、现场查看标的知悉上述瑕疵、缺陷和风险，标的出现该等瑕疵、缺陷或风险的，招标人不承担任何责任，竞价人成为最终中标人后不得因此要求解除本合同，且无权要求招标人对此采取任何补救措施、支付任何费用或补偿款项或承担任何损害赔偿责任(侵权责任)，也无权要求减少、降低成交价款或拒绝支付成交价款。</w:t>
      </w:r>
    </w:p>
    <w:p w14:paraId="36039524">
      <w:pPr>
        <w:pStyle w:val="20"/>
        <w:numPr>
          <w:ilvl w:val="0"/>
          <w:numId w:val="1"/>
        </w:numPr>
        <w:autoSpaceDE w:val="0"/>
        <w:autoSpaceDN w:val="0"/>
        <w:spacing w:line="240" w:lineRule="exact"/>
        <w:ind w:firstLineChars="0"/>
        <w:rPr>
          <w:rFonts w:cs="黑体" w:asciiTheme="minorEastAsia" w:hAnsiTheme="minorEastAsia" w:eastAsiaTheme="minorEastAsia"/>
          <w:b/>
          <w:kern w:val="0"/>
          <w:sz w:val="18"/>
          <w:szCs w:val="18"/>
          <w:highlight w:val="none"/>
          <w:lang w:bidi="ar"/>
        </w:rPr>
      </w:pPr>
      <w:r>
        <w:rPr>
          <w:rFonts w:hint="eastAsia" w:ascii="等线" w:hAnsi="等线" w:eastAsia="等线" w:cs="仿宋_GB2312"/>
          <w:bCs/>
          <w:sz w:val="18"/>
          <w:szCs w:val="18"/>
          <w:highlight w:val="none"/>
        </w:rPr>
        <w:t>竞价人拟对租赁房屋有装修（改造）意向，应在竞价前自行与属地城管部门联系了解相关情况，在取得城管同意后方可经营/施工，若未事先与属地城管部门联系了解相关情况导致造成相关损失（包括但不限于：执法单位罚款、要求恢复原状等费用）由承租户自行承担，我司概不负责。</w:t>
      </w:r>
    </w:p>
    <w:sectPr>
      <w:pgSz w:w="11906" w:h="16838"/>
      <w:pgMar w:top="907" w:right="907" w:bottom="680" w:left="90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_GB2312">
    <w:panose1 w:val="02010609030101010101"/>
    <w:charset w:val="86"/>
    <w:family w:val="auto"/>
    <w:pitch w:val="default"/>
    <w:sig w:usb0="00000001" w:usb1="080E0000" w:usb2="00000000" w:usb3="00000000" w:csb0="00040000"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0CD6AC8"/>
    <w:multiLevelType w:val="multilevel"/>
    <w:tmpl w:val="30CD6AC8"/>
    <w:lvl w:ilvl="0" w:tentative="0">
      <w:start w:val="1"/>
      <w:numFmt w:val="decimal"/>
      <w:lvlText w:val="%1、"/>
      <w:lvlJc w:val="left"/>
      <w:pPr>
        <w:ind w:left="360" w:hanging="360"/>
      </w:pPr>
      <w:rPr>
        <w:rFonts w:hint="default"/>
        <w:b/>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0"/>
  </w:num>
</w:numbering>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